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37" w:rsidRPr="00E4417B" w:rsidRDefault="007618AC" w:rsidP="007618AC">
      <w:pPr>
        <w:jc w:val="center"/>
        <w:rPr>
          <w:b/>
          <w:sz w:val="28"/>
          <w:szCs w:val="28"/>
        </w:rPr>
      </w:pPr>
      <w:r w:rsidRPr="00E4417B">
        <w:rPr>
          <w:b/>
          <w:sz w:val="28"/>
          <w:szCs w:val="28"/>
        </w:rPr>
        <w:t>The Affordable Care Act</w:t>
      </w:r>
    </w:p>
    <w:p w:rsidR="007618AC" w:rsidRPr="00E4417B" w:rsidRDefault="007618AC" w:rsidP="007618AC">
      <w:pPr>
        <w:rPr>
          <w:rFonts w:cstheme="minorHAnsi"/>
          <w:b/>
          <w:sz w:val="20"/>
          <w:szCs w:val="20"/>
        </w:rPr>
      </w:pPr>
      <w:r w:rsidRPr="00E4417B">
        <w:rPr>
          <w:rFonts w:cstheme="minorHAnsi"/>
          <w:b/>
          <w:sz w:val="20"/>
          <w:szCs w:val="20"/>
        </w:rPr>
        <w:t>INDIVIDUAL MANDATE</w:t>
      </w:r>
    </w:p>
    <w:p w:rsidR="007618AC" w:rsidRPr="00E4417B" w:rsidRDefault="007618AC" w:rsidP="007618AC">
      <w:pPr>
        <w:numPr>
          <w:ilvl w:val="0"/>
          <w:numId w:val="1"/>
        </w:numPr>
        <w:spacing w:before="150" w:after="0" w:line="240" w:lineRule="auto"/>
        <w:ind w:left="300"/>
        <w:textAlignment w:val="baseline"/>
        <w:rPr>
          <w:rFonts w:eastAsia="Times New Roman" w:cstheme="minorHAnsi"/>
          <w:color w:val="000000"/>
          <w:sz w:val="20"/>
          <w:szCs w:val="20"/>
        </w:rPr>
      </w:pPr>
      <w:r w:rsidRPr="007618AC">
        <w:rPr>
          <w:rFonts w:eastAsia="Times New Roman" w:cstheme="minorHAnsi"/>
          <w:color w:val="000000"/>
          <w:sz w:val="20"/>
          <w:szCs w:val="20"/>
        </w:rPr>
        <w:t xml:space="preserve">Require U.S. citizens and legal residents to have qualifying health coverage. Those without coverage pay a tax penalty of the greater of $695 per year up to a maximum of three times that amount ($2,085) per family or 2.5% of household income. </w:t>
      </w:r>
    </w:p>
    <w:p w:rsidR="007618AC" w:rsidRPr="00E4417B" w:rsidRDefault="007618AC" w:rsidP="007618AC">
      <w:pPr>
        <w:pStyle w:val="ListParagraph"/>
        <w:numPr>
          <w:ilvl w:val="0"/>
          <w:numId w:val="4"/>
        </w:numPr>
        <w:spacing w:before="150" w:after="0" w:line="240" w:lineRule="auto"/>
        <w:textAlignment w:val="baseline"/>
        <w:rPr>
          <w:rFonts w:eastAsia="Times New Roman" w:cstheme="minorHAnsi"/>
          <w:color w:val="000000"/>
          <w:sz w:val="20"/>
          <w:szCs w:val="20"/>
        </w:rPr>
      </w:pPr>
      <w:r w:rsidRPr="00E4417B">
        <w:rPr>
          <w:rFonts w:cstheme="minorHAnsi"/>
          <w:color w:val="000000"/>
          <w:sz w:val="20"/>
          <w:szCs w:val="20"/>
        </w:rPr>
        <w:t>For tax years 2014 and later, for eligible small businesses that purchase coverage through the state Exchange, provide a tax credit of up to 50% of the employer’s contribution toward the employee’s health insurance premium if the employer contributes at least 50% of the total premium cost. The credit will be available for two years. The full credit will be available to employers with 10 or fewer employees and average annual wages of less than $25,000. </w:t>
      </w:r>
    </w:p>
    <w:p w:rsidR="009E7E73" w:rsidRPr="00E4417B" w:rsidRDefault="009E7E73" w:rsidP="009E7E73">
      <w:pPr>
        <w:pStyle w:val="ListParagraph"/>
        <w:spacing w:before="150" w:after="0" w:line="240" w:lineRule="auto"/>
        <w:textAlignment w:val="baseline"/>
        <w:rPr>
          <w:rFonts w:eastAsia="Times New Roman" w:cstheme="minorHAnsi"/>
          <w:color w:val="000000"/>
          <w:sz w:val="20"/>
          <w:szCs w:val="20"/>
        </w:rPr>
      </w:pPr>
    </w:p>
    <w:p w:rsidR="009E7E73" w:rsidRPr="00E4417B" w:rsidRDefault="009E7E73" w:rsidP="009E7E73">
      <w:pPr>
        <w:spacing w:before="150" w:after="0" w:line="240" w:lineRule="auto"/>
        <w:textAlignment w:val="baseline"/>
        <w:rPr>
          <w:rFonts w:eastAsia="Times New Roman" w:cstheme="minorHAnsi"/>
          <w:b/>
          <w:color w:val="000000"/>
          <w:sz w:val="20"/>
          <w:szCs w:val="20"/>
        </w:rPr>
      </w:pPr>
      <w:r w:rsidRPr="00E4417B">
        <w:rPr>
          <w:rFonts w:eastAsia="Times New Roman" w:cstheme="minorHAnsi"/>
          <w:b/>
          <w:color w:val="000000"/>
          <w:sz w:val="20"/>
          <w:szCs w:val="20"/>
        </w:rPr>
        <w:t>EMPLOYER MANDATE</w:t>
      </w:r>
    </w:p>
    <w:p w:rsidR="009E7E73" w:rsidRPr="00E4417B" w:rsidRDefault="009E7E73" w:rsidP="009E7E73">
      <w:pPr>
        <w:pStyle w:val="ListParagraph"/>
        <w:numPr>
          <w:ilvl w:val="0"/>
          <w:numId w:val="4"/>
        </w:numPr>
        <w:spacing w:before="150" w:after="0" w:line="240" w:lineRule="auto"/>
        <w:textAlignment w:val="baseline"/>
        <w:rPr>
          <w:rFonts w:eastAsia="Times New Roman" w:cstheme="minorHAnsi"/>
          <w:color w:val="000000"/>
          <w:sz w:val="20"/>
          <w:szCs w:val="20"/>
        </w:rPr>
      </w:pPr>
      <w:r w:rsidRPr="00E4417B">
        <w:rPr>
          <w:rFonts w:cstheme="minorHAnsi"/>
          <w:color w:val="000000"/>
          <w:sz w:val="20"/>
          <w:szCs w:val="20"/>
        </w:rPr>
        <w:t>Assess employers with 50 or more full-time employees that do not offer coverage a fee of $2,000 per full-time employee, excluding the first 30 employees from the assessment</w:t>
      </w:r>
    </w:p>
    <w:p w:rsidR="007618AC" w:rsidRPr="00E4417B" w:rsidRDefault="007618AC" w:rsidP="007618AC">
      <w:pPr>
        <w:spacing w:before="150" w:after="0" w:line="240" w:lineRule="auto"/>
        <w:textAlignment w:val="baseline"/>
        <w:rPr>
          <w:rFonts w:eastAsia="Times New Roman" w:cstheme="minorHAnsi"/>
          <w:b/>
          <w:color w:val="000000"/>
          <w:sz w:val="20"/>
          <w:szCs w:val="20"/>
        </w:rPr>
      </w:pPr>
      <w:r w:rsidRPr="00E4417B">
        <w:rPr>
          <w:rFonts w:eastAsia="Times New Roman" w:cstheme="minorHAnsi"/>
          <w:b/>
          <w:color w:val="000000"/>
          <w:sz w:val="20"/>
          <w:szCs w:val="20"/>
        </w:rPr>
        <w:t>MEDICAID EXPANSION</w:t>
      </w:r>
      <w:r w:rsidR="009E7E73" w:rsidRPr="00E4417B">
        <w:rPr>
          <w:rFonts w:eastAsia="Times New Roman" w:cstheme="minorHAnsi"/>
          <w:b/>
          <w:color w:val="000000"/>
          <w:sz w:val="20"/>
          <w:szCs w:val="20"/>
        </w:rPr>
        <w:t xml:space="preserve"> and SUBSIDIES </w:t>
      </w:r>
    </w:p>
    <w:p w:rsidR="007618AC" w:rsidRPr="00E4417B" w:rsidRDefault="007618AC" w:rsidP="007618AC">
      <w:pPr>
        <w:pStyle w:val="ListParagraph"/>
        <w:numPr>
          <w:ilvl w:val="0"/>
          <w:numId w:val="2"/>
        </w:numPr>
        <w:spacing w:before="150" w:after="0" w:line="240" w:lineRule="auto"/>
        <w:textAlignment w:val="baseline"/>
        <w:rPr>
          <w:rFonts w:eastAsia="Times New Roman" w:cstheme="minorHAnsi"/>
          <w:color w:val="000000"/>
          <w:sz w:val="20"/>
          <w:szCs w:val="20"/>
        </w:rPr>
      </w:pPr>
      <w:r w:rsidRPr="00E4417B">
        <w:rPr>
          <w:rFonts w:cstheme="minorHAnsi"/>
          <w:color w:val="000000"/>
          <w:sz w:val="20"/>
          <w:szCs w:val="20"/>
        </w:rPr>
        <w:t>Expand Medicaid to all non-Medicare eligible individuals under age 65 (children, pregnant women, parents, and adults without dependent chi</w:t>
      </w:r>
      <w:r w:rsidR="00E4417B">
        <w:rPr>
          <w:rFonts w:cstheme="minorHAnsi"/>
          <w:color w:val="000000"/>
          <w:sz w:val="20"/>
          <w:szCs w:val="20"/>
        </w:rPr>
        <w:t>ldren) with incomes up to 133% of the federal poverty line (F</w:t>
      </w:r>
      <w:r w:rsidRPr="00E4417B">
        <w:rPr>
          <w:rFonts w:cstheme="minorHAnsi"/>
          <w:color w:val="000000"/>
          <w:sz w:val="20"/>
          <w:szCs w:val="20"/>
        </w:rPr>
        <w:t>PL</w:t>
      </w:r>
      <w:r w:rsidR="00E4417B">
        <w:rPr>
          <w:rFonts w:cstheme="minorHAnsi"/>
          <w:color w:val="000000"/>
          <w:sz w:val="20"/>
          <w:szCs w:val="20"/>
        </w:rPr>
        <w:t>)</w:t>
      </w:r>
      <w:r w:rsidRPr="00E4417B">
        <w:rPr>
          <w:rFonts w:cstheme="minorHAnsi"/>
          <w:color w:val="000000"/>
          <w:sz w:val="20"/>
          <w:szCs w:val="20"/>
        </w:rPr>
        <w:t xml:space="preserve"> based on modified adjusted gross income (as under current law undocumented immigrants are not eligible for Medicaid).</w:t>
      </w:r>
    </w:p>
    <w:p w:rsidR="009E7E73" w:rsidRPr="00E4417B" w:rsidRDefault="009E7E73" w:rsidP="009E7E73">
      <w:pPr>
        <w:pStyle w:val="ListParagraph"/>
        <w:spacing w:before="150" w:after="0" w:line="240" w:lineRule="auto"/>
        <w:textAlignment w:val="baseline"/>
        <w:rPr>
          <w:rFonts w:eastAsia="Times New Roman" w:cstheme="minorHAnsi"/>
          <w:color w:val="000000"/>
          <w:sz w:val="20"/>
          <w:szCs w:val="20"/>
        </w:rPr>
      </w:pPr>
    </w:p>
    <w:p w:rsidR="007618AC" w:rsidRPr="00E4417B" w:rsidRDefault="007618AC" w:rsidP="009E7E73">
      <w:pPr>
        <w:pStyle w:val="ListParagraph"/>
        <w:numPr>
          <w:ilvl w:val="0"/>
          <w:numId w:val="2"/>
        </w:numPr>
        <w:spacing w:before="150" w:after="0" w:line="240" w:lineRule="auto"/>
        <w:textAlignment w:val="baseline"/>
        <w:rPr>
          <w:rFonts w:eastAsia="Times New Roman" w:cstheme="minorHAnsi"/>
          <w:color w:val="000000"/>
          <w:sz w:val="20"/>
          <w:szCs w:val="20"/>
        </w:rPr>
      </w:pPr>
      <w:r w:rsidRPr="00E4417B">
        <w:rPr>
          <w:rFonts w:eastAsia="Times New Roman" w:cstheme="minorHAnsi"/>
          <w:color w:val="000000"/>
          <w:sz w:val="20"/>
          <w:szCs w:val="20"/>
        </w:rPr>
        <w:t>Provide premium credits to eligible individuals and families with incomes between 100-400% FPL to purchase insurance through the Exchanges</w:t>
      </w:r>
      <w:r w:rsidR="009E7E73" w:rsidRPr="00E4417B">
        <w:rPr>
          <w:rFonts w:eastAsia="Times New Roman" w:cstheme="minorHAnsi"/>
          <w:color w:val="000000"/>
          <w:sz w:val="20"/>
          <w:szCs w:val="20"/>
        </w:rPr>
        <w:t>.  Individuals are required to pay the following % of income towards premium of</w:t>
      </w:r>
      <w:r w:rsidR="00E4417B">
        <w:rPr>
          <w:rFonts w:eastAsia="Times New Roman" w:cstheme="minorHAnsi"/>
          <w:color w:val="000000"/>
          <w:sz w:val="20"/>
          <w:szCs w:val="20"/>
        </w:rPr>
        <w:t xml:space="preserve"> “bronze” or</w:t>
      </w:r>
      <w:r w:rsidR="009E7E73" w:rsidRPr="00E4417B">
        <w:rPr>
          <w:rFonts w:eastAsia="Times New Roman" w:cstheme="minorHAnsi"/>
          <w:color w:val="000000"/>
          <w:sz w:val="20"/>
          <w:szCs w:val="20"/>
        </w:rPr>
        <w:t xml:space="preserve"> “silver” plan before subsidies kick in.  </w:t>
      </w:r>
    </w:p>
    <w:p w:rsidR="009E7E73" w:rsidRPr="00E4417B" w:rsidRDefault="009E7E73" w:rsidP="009E7E73">
      <w:pPr>
        <w:spacing w:after="0" w:line="240" w:lineRule="auto"/>
        <w:textAlignment w:val="baseline"/>
        <w:rPr>
          <w:rFonts w:eastAsia="Times New Roman" w:cstheme="minorHAnsi"/>
          <w:color w:val="000000"/>
          <w:sz w:val="20"/>
          <w:szCs w:val="20"/>
        </w:rPr>
      </w:pPr>
    </w:p>
    <w:p w:rsidR="007618AC" w:rsidRPr="007618AC" w:rsidRDefault="007618AC" w:rsidP="009E7E73">
      <w:pPr>
        <w:spacing w:after="0" w:line="240" w:lineRule="auto"/>
        <w:ind w:firstLine="720"/>
        <w:textAlignment w:val="baseline"/>
        <w:rPr>
          <w:rFonts w:eastAsia="Times New Roman" w:cstheme="minorHAnsi"/>
          <w:color w:val="000000"/>
          <w:sz w:val="20"/>
          <w:szCs w:val="20"/>
        </w:rPr>
      </w:pPr>
      <w:r w:rsidRPr="007618AC">
        <w:rPr>
          <w:rFonts w:eastAsia="Times New Roman" w:cstheme="minorHAnsi"/>
          <w:color w:val="000000"/>
          <w:sz w:val="20"/>
          <w:szCs w:val="20"/>
        </w:rPr>
        <w:t xml:space="preserve">Up to 133% </w:t>
      </w:r>
      <w:r w:rsidR="009E7E73" w:rsidRPr="00E4417B">
        <w:rPr>
          <w:rFonts w:eastAsia="Times New Roman" w:cstheme="minorHAnsi"/>
          <w:color w:val="000000"/>
          <w:sz w:val="20"/>
          <w:szCs w:val="20"/>
        </w:rPr>
        <w:t>of Federal Poverty Line (</w:t>
      </w:r>
      <w:r w:rsidRPr="007618AC">
        <w:rPr>
          <w:rFonts w:eastAsia="Times New Roman" w:cstheme="minorHAnsi"/>
          <w:color w:val="000000"/>
          <w:sz w:val="20"/>
          <w:szCs w:val="20"/>
        </w:rPr>
        <w:t>FPL</w:t>
      </w:r>
      <w:r w:rsidR="009E7E73" w:rsidRPr="00E4417B">
        <w:rPr>
          <w:rFonts w:eastAsia="Times New Roman" w:cstheme="minorHAnsi"/>
          <w:color w:val="000000"/>
          <w:sz w:val="20"/>
          <w:szCs w:val="20"/>
        </w:rPr>
        <w:t>)</w:t>
      </w:r>
      <w:r w:rsidRPr="007618AC">
        <w:rPr>
          <w:rFonts w:eastAsia="Times New Roman" w:cstheme="minorHAnsi"/>
          <w:color w:val="000000"/>
          <w:sz w:val="20"/>
          <w:szCs w:val="20"/>
        </w:rPr>
        <w:t>:  2% of income</w:t>
      </w:r>
    </w:p>
    <w:p w:rsidR="007618AC" w:rsidRPr="007618AC" w:rsidRDefault="007618AC" w:rsidP="009E7E73">
      <w:pPr>
        <w:spacing w:after="0" w:line="240" w:lineRule="auto"/>
        <w:ind w:left="720"/>
        <w:textAlignment w:val="baseline"/>
        <w:rPr>
          <w:rFonts w:eastAsia="Times New Roman" w:cstheme="minorHAnsi"/>
          <w:color w:val="000000"/>
          <w:sz w:val="20"/>
          <w:szCs w:val="20"/>
        </w:rPr>
      </w:pPr>
      <w:r w:rsidRPr="007618AC">
        <w:rPr>
          <w:rFonts w:eastAsia="Times New Roman" w:cstheme="minorHAnsi"/>
          <w:color w:val="000000"/>
          <w:sz w:val="20"/>
          <w:szCs w:val="20"/>
        </w:rPr>
        <w:t>133-150% FPL: 3 – 4% of income</w:t>
      </w:r>
    </w:p>
    <w:p w:rsidR="007618AC" w:rsidRPr="007618AC" w:rsidRDefault="007618AC" w:rsidP="009E7E73">
      <w:pPr>
        <w:spacing w:after="0" w:line="240" w:lineRule="auto"/>
        <w:ind w:left="720"/>
        <w:textAlignment w:val="baseline"/>
        <w:rPr>
          <w:rFonts w:eastAsia="Times New Roman" w:cstheme="minorHAnsi"/>
          <w:color w:val="000000"/>
          <w:sz w:val="20"/>
          <w:szCs w:val="20"/>
        </w:rPr>
      </w:pPr>
      <w:r w:rsidRPr="007618AC">
        <w:rPr>
          <w:rFonts w:eastAsia="Times New Roman" w:cstheme="minorHAnsi"/>
          <w:color w:val="000000"/>
          <w:sz w:val="20"/>
          <w:szCs w:val="20"/>
        </w:rPr>
        <w:t>150-200% FPL: 4 – 6.3% of income</w:t>
      </w:r>
    </w:p>
    <w:p w:rsidR="007618AC" w:rsidRPr="007618AC" w:rsidRDefault="007618AC" w:rsidP="009E7E73">
      <w:pPr>
        <w:spacing w:after="0" w:line="240" w:lineRule="auto"/>
        <w:ind w:left="720"/>
        <w:textAlignment w:val="baseline"/>
        <w:rPr>
          <w:rFonts w:eastAsia="Times New Roman" w:cstheme="minorHAnsi"/>
          <w:color w:val="000000"/>
          <w:sz w:val="20"/>
          <w:szCs w:val="20"/>
        </w:rPr>
      </w:pPr>
      <w:r w:rsidRPr="007618AC">
        <w:rPr>
          <w:rFonts w:eastAsia="Times New Roman" w:cstheme="minorHAnsi"/>
          <w:color w:val="000000"/>
          <w:sz w:val="20"/>
          <w:szCs w:val="20"/>
        </w:rPr>
        <w:t>200-250% FPL: 6.3 – 8.05% of income</w:t>
      </w:r>
    </w:p>
    <w:p w:rsidR="007618AC" w:rsidRPr="007618AC" w:rsidRDefault="007618AC" w:rsidP="009E7E73">
      <w:pPr>
        <w:spacing w:after="0" w:line="240" w:lineRule="auto"/>
        <w:ind w:left="720"/>
        <w:textAlignment w:val="baseline"/>
        <w:rPr>
          <w:rFonts w:eastAsia="Times New Roman" w:cstheme="minorHAnsi"/>
          <w:color w:val="000000"/>
          <w:sz w:val="20"/>
          <w:szCs w:val="20"/>
        </w:rPr>
      </w:pPr>
      <w:r w:rsidRPr="007618AC">
        <w:rPr>
          <w:rFonts w:eastAsia="Times New Roman" w:cstheme="minorHAnsi"/>
          <w:color w:val="000000"/>
          <w:sz w:val="20"/>
          <w:szCs w:val="20"/>
        </w:rPr>
        <w:t>250-300% FPL: 8.05 – 9.5% of income</w:t>
      </w:r>
    </w:p>
    <w:p w:rsidR="007618AC" w:rsidRPr="007618AC" w:rsidRDefault="007618AC" w:rsidP="009E7E73">
      <w:pPr>
        <w:spacing w:after="0" w:line="240" w:lineRule="auto"/>
        <w:ind w:left="720"/>
        <w:textAlignment w:val="baseline"/>
        <w:rPr>
          <w:rFonts w:eastAsia="Times New Roman" w:cstheme="minorHAnsi"/>
          <w:color w:val="000000"/>
          <w:sz w:val="20"/>
          <w:szCs w:val="20"/>
        </w:rPr>
      </w:pPr>
      <w:r w:rsidRPr="007618AC">
        <w:rPr>
          <w:rFonts w:eastAsia="Times New Roman" w:cstheme="minorHAnsi"/>
          <w:color w:val="000000"/>
          <w:sz w:val="20"/>
          <w:szCs w:val="20"/>
        </w:rPr>
        <w:t>300-400% FPL: 9.5% of income</w:t>
      </w:r>
    </w:p>
    <w:p w:rsidR="007618AC" w:rsidRPr="00E4417B" w:rsidRDefault="007618AC" w:rsidP="007618AC">
      <w:pPr>
        <w:rPr>
          <w:rFonts w:cstheme="minorHAnsi"/>
          <w:b/>
          <w:sz w:val="20"/>
          <w:szCs w:val="20"/>
        </w:rPr>
      </w:pPr>
    </w:p>
    <w:p w:rsidR="009E7E73" w:rsidRPr="00E4417B" w:rsidRDefault="009E7E73" w:rsidP="009E7E73">
      <w:pPr>
        <w:rPr>
          <w:rFonts w:cstheme="minorHAnsi"/>
          <w:b/>
          <w:sz w:val="20"/>
          <w:szCs w:val="20"/>
        </w:rPr>
      </w:pPr>
      <w:r w:rsidRPr="00E4417B">
        <w:rPr>
          <w:rFonts w:cstheme="minorHAnsi"/>
          <w:b/>
          <w:sz w:val="20"/>
          <w:szCs w:val="20"/>
        </w:rPr>
        <w:t>HEALTH INSURANCE EXCHANGES</w:t>
      </w:r>
    </w:p>
    <w:p w:rsidR="007618AC" w:rsidRPr="00E4417B" w:rsidRDefault="007618AC" w:rsidP="007618AC">
      <w:pPr>
        <w:numPr>
          <w:ilvl w:val="0"/>
          <w:numId w:val="5"/>
        </w:numPr>
        <w:spacing w:before="150" w:after="0" w:line="240" w:lineRule="auto"/>
        <w:ind w:left="300"/>
        <w:textAlignment w:val="baseline"/>
        <w:rPr>
          <w:rFonts w:eastAsia="Times New Roman" w:cstheme="minorHAnsi"/>
          <w:color w:val="000000"/>
          <w:sz w:val="20"/>
          <w:szCs w:val="20"/>
        </w:rPr>
      </w:pPr>
      <w:r w:rsidRPr="007618AC">
        <w:rPr>
          <w:rFonts w:eastAsia="Times New Roman" w:cstheme="minorHAnsi"/>
          <w:color w:val="000000"/>
          <w:sz w:val="20"/>
          <w:szCs w:val="20"/>
        </w:rPr>
        <w:t>Create state-based American Health Benefit Exchanges and Small Business Health Options Program (SHOP) Exchanges, administered by a governmental agency or non-profit organization, through which individuals and small businesses with up to 100 employees can purchase qualified coverage. Permit states to allow businesses with more than 100 employees to purchase coverage in the SHOP Exchange beginning in 2017. States may form regional Exchanges or allow more than one Exchange to operate in a state as long as each Exchange serves a distinct geographic area. (Funding available to states to establish Exchanges within one year of enactment and until January 1, 2015)</w:t>
      </w:r>
    </w:p>
    <w:p w:rsidR="009E7E73" w:rsidRPr="007618AC" w:rsidRDefault="009E7E73" w:rsidP="009E7E73">
      <w:pPr>
        <w:spacing w:before="150" w:after="0" w:line="240" w:lineRule="auto"/>
        <w:ind w:left="300"/>
        <w:textAlignment w:val="baseline"/>
        <w:rPr>
          <w:rFonts w:eastAsia="Times New Roman" w:cstheme="minorHAnsi"/>
          <w:color w:val="000000"/>
          <w:sz w:val="20"/>
          <w:szCs w:val="20"/>
        </w:rPr>
      </w:pPr>
    </w:p>
    <w:p w:rsidR="009E7E73" w:rsidRPr="00E4417B" w:rsidRDefault="009E7E73" w:rsidP="009E7E73">
      <w:pPr>
        <w:pStyle w:val="ListParagraph"/>
        <w:numPr>
          <w:ilvl w:val="0"/>
          <w:numId w:val="7"/>
        </w:numPr>
        <w:spacing w:after="0" w:line="240" w:lineRule="auto"/>
        <w:rPr>
          <w:rFonts w:eastAsia="Times New Roman" w:cstheme="minorHAnsi"/>
          <w:sz w:val="20"/>
          <w:szCs w:val="20"/>
        </w:rPr>
      </w:pPr>
      <w:r w:rsidRPr="00E4417B">
        <w:rPr>
          <w:rFonts w:eastAsia="Times New Roman" w:cstheme="minorHAnsi"/>
          <w:color w:val="000000"/>
          <w:sz w:val="20"/>
          <w:szCs w:val="20"/>
        </w:rPr>
        <w:t xml:space="preserve">Exchanges must have four benefit categories of plans plus a separate catastrophic plan to be offered through the Exchange, and in the individual and small group markets:  Bronze, Silver, Gold, </w:t>
      </w:r>
      <w:proofErr w:type="gramStart"/>
      <w:r w:rsidRPr="00E4417B">
        <w:rPr>
          <w:rFonts w:eastAsia="Times New Roman" w:cstheme="minorHAnsi"/>
          <w:color w:val="000000"/>
          <w:sz w:val="20"/>
          <w:szCs w:val="20"/>
        </w:rPr>
        <w:t>Platinum</w:t>
      </w:r>
      <w:proofErr w:type="gramEnd"/>
      <w:r w:rsidRPr="00E4417B">
        <w:rPr>
          <w:rFonts w:eastAsia="Times New Roman" w:cstheme="minorHAnsi"/>
          <w:color w:val="000000"/>
          <w:sz w:val="20"/>
          <w:szCs w:val="20"/>
        </w:rPr>
        <w:t xml:space="preserve"> with increasing benefits and </w:t>
      </w:r>
      <w:proofErr w:type="spellStart"/>
      <w:r w:rsidRPr="00E4417B">
        <w:rPr>
          <w:rFonts w:eastAsia="Times New Roman" w:cstheme="minorHAnsi"/>
          <w:color w:val="000000"/>
          <w:sz w:val="20"/>
          <w:szCs w:val="20"/>
        </w:rPr>
        <w:t>pricetag</w:t>
      </w:r>
      <w:proofErr w:type="spellEnd"/>
      <w:r w:rsidRPr="00E4417B">
        <w:rPr>
          <w:rFonts w:eastAsia="Times New Roman" w:cstheme="minorHAnsi"/>
          <w:color w:val="000000"/>
          <w:sz w:val="20"/>
          <w:szCs w:val="20"/>
        </w:rPr>
        <w:t>.</w:t>
      </w:r>
    </w:p>
    <w:p w:rsidR="009E7E73" w:rsidRPr="00E4417B" w:rsidRDefault="009E7E73" w:rsidP="009E7E73">
      <w:pPr>
        <w:spacing w:after="0" w:line="240" w:lineRule="auto"/>
        <w:rPr>
          <w:rFonts w:eastAsia="Times New Roman" w:cstheme="minorHAnsi"/>
          <w:sz w:val="20"/>
          <w:szCs w:val="20"/>
        </w:rPr>
      </w:pPr>
    </w:p>
    <w:p w:rsidR="009E7E73" w:rsidRPr="00E4417B" w:rsidRDefault="009E7E73" w:rsidP="009E7E73">
      <w:pPr>
        <w:spacing w:after="0" w:line="240" w:lineRule="auto"/>
        <w:rPr>
          <w:rFonts w:cstheme="minorHAnsi"/>
          <w:color w:val="222222"/>
          <w:sz w:val="20"/>
          <w:szCs w:val="20"/>
          <w:shd w:val="clear" w:color="auto" w:fill="FFFFFF"/>
        </w:rPr>
      </w:pPr>
    </w:p>
    <w:p w:rsidR="009E7E73" w:rsidRPr="00E4417B" w:rsidRDefault="009E7E73" w:rsidP="009E7E73">
      <w:pPr>
        <w:spacing w:after="0" w:line="240" w:lineRule="auto"/>
        <w:rPr>
          <w:rFonts w:cstheme="minorHAnsi"/>
          <w:b/>
          <w:color w:val="222222"/>
          <w:sz w:val="20"/>
          <w:szCs w:val="20"/>
          <w:shd w:val="clear" w:color="auto" w:fill="FFFFFF"/>
        </w:rPr>
      </w:pPr>
      <w:r w:rsidRPr="00E4417B">
        <w:rPr>
          <w:rFonts w:cstheme="minorHAnsi"/>
          <w:b/>
          <w:color w:val="222222"/>
          <w:sz w:val="20"/>
          <w:szCs w:val="20"/>
          <w:shd w:val="clear" w:color="auto" w:fill="FFFFFF"/>
        </w:rPr>
        <w:t>PRE-EXISTING CONDITIONS</w:t>
      </w:r>
    </w:p>
    <w:p w:rsidR="009E7E73" w:rsidRPr="00E4417B" w:rsidRDefault="009E7E73" w:rsidP="009E7E73">
      <w:pPr>
        <w:spacing w:after="0" w:line="240" w:lineRule="auto"/>
        <w:rPr>
          <w:rFonts w:eastAsia="Times New Roman" w:cstheme="minorHAnsi"/>
          <w:sz w:val="20"/>
          <w:szCs w:val="20"/>
        </w:rPr>
      </w:pPr>
      <w:r w:rsidRPr="00E4417B">
        <w:rPr>
          <w:rFonts w:cstheme="minorHAnsi"/>
          <w:color w:val="222222"/>
          <w:sz w:val="20"/>
          <w:szCs w:val="20"/>
          <w:shd w:val="clear" w:color="auto" w:fill="FFFFFF"/>
        </w:rPr>
        <w:t>Health insurers can no longer charge more or deny </w:t>
      </w:r>
      <w:r w:rsidRPr="00E4417B">
        <w:rPr>
          <w:rFonts w:cstheme="minorHAnsi"/>
          <w:b/>
          <w:bCs/>
          <w:color w:val="222222"/>
          <w:sz w:val="20"/>
          <w:szCs w:val="20"/>
          <w:shd w:val="clear" w:color="auto" w:fill="FFFFFF"/>
        </w:rPr>
        <w:t>coverage</w:t>
      </w:r>
      <w:r w:rsidRPr="00E4417B">
        <w:rPr>
          <w:rFonts w:cstheme="minorHAnsi"/>
          <w:color w:val="222222"/>
          <w:sz w:val="20"/>
          <w:szCs w:val="20"/>
          <w:shd w:val="clear" w:color="auto" w:fill="FFFFFF"/>
        </w:rPr>
        <w:t> to you or your </w:t>
      </w:r>
      <w:proofErr w:type="spellStart"/>
      <w:r w:rsidRPr="00E4417B">
        <w:rPr>
          <w:rFonts w:cstheme="minorHAnsi"/>
          <w:b/>
          <w:bCs/>
          <w:color w:val="222222"/>
          <w:sz w:val="20"/>
          <w:szCs w:val="20"/>
          <w:shd w:val="clear" w:color="auto" w:fill="FFFFFF"/>
        </w:rPr>
        <w:t>child</w:t>
      </w:r>
      <w:r w:rsidRPr="00E4417B">
        <w:rPr>
          <w:rFonts w:cstheme="minorHAnsi"/>
          <w:color w:val="222222"/>
          <w:sz w:val="20"/>
          <w:szCs w:val="20"/>
          <w:shd w:val="clear" w:color="auto" w:fill="FFFFFF"/>
        </w:rPr>
        <w:t>because</w:t>
      </w:r>
      <w:proofErr w:type="spellEnd"/>
      <w:r w:rsidRPr="00E4417B">
        <w:rPr>
          <w:rFonts w:cstheme="minorHAnsi"/>
          <w:color w:val="222222"/>
          <w:sz w:val="20"/>
          <w:szCs w:val="20"/>
          <w:shd w:val="clear" w:color="auto" w:fill="FFFFFF"/>
        </w:rPr>
        <w:t xml:space="preserve"> of a </w:t>
      </w:r>
      <w:r w:rsidRPr="00E4417B">
        <w:rPr>
          <w:rFonts w:cstheme="minorHAnsi"/>
          <w:b/>
          <w:bCs/>
          <w:color w:val="222222"/>
          <w:sz w:val="20"/>
          <w:szCs w:val="20"/>
          <w:shd w:val="clear" w:color="auto" w:fill="FFFFFF"/>
        </w:rPr>
        <w:t>pre</w:t>
      </w:r>
      <w:r w:rsidRPr="00E4417B">
        <w:rPr>
          <w:rFonts w:cstheme="minorHAnsi"/>
          <w:color w:val="222222"/>
          <w:sz w:val="20"/>
          <w:szCs w:val="20"/>
          <w:shd w:val="clear" w:color="auto" w:fill="FFFFFF"/>
        </w:rPr>
        <w:t>-</w:t>
      </w:r>
      <w:r w:rsidRPr="00E4417B">
        <w:rPr>
          <w:rFonts w:cstheme="minorHAnsi"/>
          <w:b/>
          <w:bCs/>
          <w:color w:val="222222"/>
          <w:sz w:val="20"/>
          <w:szCs w:val="20"/>
          <w:shd w:val="clear" w:color="auto" w:fill="FFFFFF"/>
        </w:rPr>
        <w:t>existing</w:t>
      </w:r>
      <w:r w:rsidRPr="00E4417B">
        <w:rPr>
          <w:rFonts w:cstheme="minorHAnsi"/>
          <w:color w:val="222222"/>
          <w:sz w:val="20"/>
          <w:szCs w:val="20"/>
          <w:shd w:val="clear" w:color="auto" w:fill="FFFFFF"/>
        </w:rPr>
        <w:t> health </w:t>
      </w:r>
      <w:r w:rsidRPr="00E4417B">
        <w:rPr>
          <w:rFonts w:cstheme="minorHAnsi"/>
          <w:b/>
          <w:bCs/>
          <w:color w:val="222222"/>
          <w:sz w:val="20"/>
          <w:szCs w:val="20"/>
          <w:shd w:val="clear" w:color="auto" w:fill="FFFFFF"/>
        </w:rPr>
        <w:t>condition</w:t>
      </w:r>
      <w:r w:rsidRPr="00E4417B">
        <w:rPr>
          <w:rFonts w:cstheme="minorHAnsi"/>
          <w:color w:val="222222"/>
          <w:sz w:val="20"/>
          <w:szCs w:val="20"/>
          <w:shd w:val="clear" w:color="auto" w:fill="FFFFFF"/>
        </w:rPr>
        <w:t> like asthma, diabetes, or cancer. They cannot limit benefits for that </w:t>
      </w:r>
      <w:r w:rsidRPr="00E4417B">
        <w:rPr>
          <w:rFonts w:cstheme="minorHAnsi"/>
          <w:b/>
          <w:bCs/>
          <w:color w:val="222222"/>
          <w:sz w:val="20"/>
          <w:szCs w:val="20"/>
          <w:shd w:val="clear" w:color="auto" w:fill="FFFFFF"/>
        </w:rPr>
        <w:t>condition</w:t>
      </w:r>
      <w:r w:rsidRPr="00E4417B">
        <w:rPr>
          <w:rFonts w:cstheme="minorHAnsi"/>
          <w:color w:val="222222"/>
          <w:sz w:val="20"/>
          <w:szCs w:val="20"/>
          <w:shd w:val="clear" w:color="auto" w:fill="FFFFFF"/>
        </w:rPr>
        <w:t> either.</w:t>
      </w:r>
    </w:p>
    <w:p w:rsidR="007618AC" w:rsidRDefault="007618AC" w:rsidP="007618AC">
      <w:pPr>
        <w:rPr>
          <w:b/>
          <w:sz w:val="20"/>
          <w:szCs w:val="20"/>
        </w:rPr>
      </w:pPr>
    </w:p>
    <w:p w:rsidR="00E4417B" w:rsidRPr="00E4417B" w:rsidRDefault="00E4417B" w:rsidP="007618AC">
      <w:pPr>
        <w:rPr>
          <w:rFonts w:cstheme="minorHAnsi"/>
          <w:b/>
          <w:color w:val="222222"/>
          <w:sz w:val="20"/>
          <w:szCs w:val="20"/>
          <w:shd w:val="clear" w:color="auto" w:fill="FFFFFF"/>
        </w:rPr>
      </w:pPr>
      <w:r w:rsidRPr="00E4417B">
        <w:rPr>
          <w:rFonts w:cstheme="minorHAnsi"/>
          <w:b/>
          <w:color w:val="222222"/>
          <w:sz w:val="20"/>
          <w:szCs w:val="20"/>
          <w:shd w:val="clear" w:color="auto" w:fill="FFFFFF"/>
        </w:rPr>
        <w:t>COVERAGE OF DEPENDENT CHILDREN</w:t>
      </w:r>
    </w:p>
    <w:p w:rsidR="00AA14C3" w:rsidRDefault="00E4417B">
      <w:pPr>
        <w:rPr>
          <w:rFonts w:cstheme="minorHAnsi"/>
          <w:color w:val="222222"/>
          <w:sz w:val="20"/>
          <w:szCs w:val="20"/>
          <w:shd w:val="clear" w:color="auto" w:fill="FFFFFF"/>
        </w:rPr>
      </w:pPr>
      <w:r w:rsidRPr="00E4417B">
        <w:rPr>
          <w:rFonts w:cstheme="minorHAnsi"/>
          <w:color w:val="222222"/>
          <w:sz w:val="20"/>
          <w:szCs w:val="20"/>
          <w:shd w:val="clear" w:color="auto" w:fill="FFFFFF"/>
        </w:rPr>
        <w:t>The Affordable Care Act requires plans and issuers that offer dependent child coverage to make the coverage available until a child reaches the age of </w:t>
      </w:r>
      <w:r w:rsidRPr="00E4417B">
        <w:rPr>
          <w:rFonts w:cstheme="minorHAnsi"/>
          <w:b/>
          <w:bCs/>
          <w:color w:val="222222"/>
          <w:sz w:val="20"/>
          <w:szCs w:val="20"/>
          <w:shd w:val="clear" w:color="auto" w:fill="FFFFFF"/>
        </w:rPr>
        <w:t>26</w:t>
      </w:r>
      <w:r w:rsidRPr="00E4417B">
        <w:rPr>
          <w:rFonts w:cstheme="minorHAnsi"/>
          <w:color w:val="222222"/>
          <w:sz w:val="20"/>
          <w:szCs w:val="20"/>
          <w:shd w:val="clear" w:color="auto" w:fill="FFFFFF"/>
        </w:rPr>
        <w:t>. </w:t>
      </w:r>
    </w:p>
    <w:p w:rsidR="00AA14C3" w:rsidRDefault="00AA14C3">
      <w:pPr>
        <w:rPr>
          <w:rFonts w:cstheme="minorHAnsi"/>
          <w:color w:val="222222"/>
          <w:sz w:val="20"/>
          <w:szCs w:val="20"/>
          <w:shd w:val="clear" w:color="auto" w:fill="FFFFFF"/>
        </w:rPr>
      </w:pPr>
    </w:p>
    <w:p w:rsidR="00E4417B" w:rsidRPr="00E4417B" w:rsidRDefault="00E4417B">
      <w:pPr>
        <w:rPr>
          <w:rFonts w:cstheme="minorHAnsi"/>
          <w:b/>
          <w:sz w:val="20"/>
          <w:szCs w:val="20"/>
        </w:rPr>
      </w:pPr>
      <w:r w:rsidRPr="00E4417B">
        <w:rPr>
          <w:rFonts w:cstheme="minorHAnsi"/>
          <w:b/>
          <w:sz w:val="20"/>
          <w:szCs w:val="20"/>
        </w:rPr>
        <w:t xml:space="preserve"> </w:t>
      </w:r>
      <w:r w:rsidR="00AA14C3" w:rsidRPr="00AA14C3">
        <w:rPr>
          <w:rFonts w:cstheme="minorHAnsi"/>
          <w:b/>
          <w:sz w:val="20"/>
          <w:szCs w:val="20"/>
        </w:rPr>
        <w:drawing>
          <wp:inline distT="0" distB="0" distL="0" distR="0">
            <wp:extent cx="5943600" cy="3905885"/>
            <wp:effectExtent l="0" t="0" r="0" b="0"/>
            <wp:docPr id="1" name="Picture 1" descr="Image result for OBAMA CARE THREE LEGGED STOOL"/>
            <wp:cNvGraphicFramePr/>
            <a:graphic xmlns:a="http://schemas.openxmlformats.org/drawingml/2006/main">
              <a:graphicData uri="http://schemas.openxmlformats.org/drawingml/2006/picture">
                <pic:pic xmlns:pic="http://schemas.openxmlformats.org/drawingml/2006/picture">
                  <pic:nvPicPr>
                    <pic:cNvPr id="16386" name="Picture 2" descr="Image result for OBAMA CARE THREE LEGGED STOOL"/>
                    <pic:cNvPicPr>
                      <a:picLocks noChangeAspect="1" noChangeArrowheads="1"/>
                    </pic:cNvPicPr>
                  </pic:nvPicPr>
                  <pic:blipFill>
                    <a:blip r:embed="rId5" cstate="print"/>
                    <a:srcRect/>
                    <a:stretch>
                      <a:fillRect/>
                    </a:stretch>
                  </pic:blipFill>
                  <pic:spPr bwMode="auto">
                    <a:xfrm>
                      <a:off x="0" y="0"/>
                      <a:ext cx="5943600" cy="3905885"/>
                    </a:xfrm>
                    <a:prstGeom prst="rect">
                      <a:avLst/>
                    </a:prstGeom>
                    <a:noFill/>
                  </pic:spPr>
                </pic:pic>
              </a:graphicData>
            </a:graphic>
          </wp:inline>
        </w:drawing>
      </w:r>
    </w:p>
    <w:sectPr w:rsidR="00E4417B" w:rsidRPr="00E4417B" w:rsidSect="009E7E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AA6"/>
    <w:multiLevelType w:val="hybridMultilevel"/>
    <w:tmpl w:val="122A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065A"/>
    <w:multiLevelType w:val="hybridMultilevel"/>
    <w:tmpl w:val="99D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F57AE"/>
    <w:multiLevelType w:val="multilevel"/>
    <w:tmpl w:val="CC1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A6914"/>
    <w:multiLevelType w:val="multilevel"/>
    <w:tmpl w:val="D00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C0FDD"/>
    <w:multiLevelType w:val="multilevel"/>
    <w:tmpl w:val="222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B5CF3"/>
    <w:multiLevelType w:val="multilevel"/>
    <w:tmpl w:val="5B9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A2EED"/>
    <w:multiLevelType w:val="hybridMultilevel"/>
    <w:tmpl w:val="A00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18AC"/>
    <w:rsid w:val="00731937"/>
    <w:rsid w:val="007618AC"/>
    <w:rsid w:val="009E7E73"/>
    <w:rsid w:val="00AA14C3"/>
    <w:rsid w:val="00E44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AC"/>
    <w:pPr>
      <w:ind w:left="720"/>
      <w:contextualSpacing/>
    </w:pPr>
  </w:style>
  <w:style w:type="paragraph" w:styleId="BalloonText">
    <w:name w:val="Balloon Text"/>
    <w:basedOn w:val="Normal"/>
    <w:link w:val="BalloonTextChar"/>
    <w:uiPriority w:val="99"/>
    <w:semiHidden/>
    <w:unhideWhenUsed/>
    <w:rsid w:val="00AA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39719">
      <w:bodyDiv w:val="1"/>
      <w:marLeft w:val="0"/>
      <w:marRight w:val="0"/>
      <w:marTop w:val="0"/>
      <w:marBottom w:val="0"/>
      <w:divBdr>
        <w:top w:val="none" w:sz="0" w:space="0" w:color="auto"/>
        <w:left w:val="none" w:sz="0" w:space="0" w:color="auto"/>
        <w:bottom w:val="none" w:sz="0" w:space="0" w:color="auto"/>
        <w:right w:val="none" w:sz="0" w:space="0" w:color="auto"/>
      </w:divBdr>
    </w:div>
    <w:div w:id="1145123964">
      <w:bodyDiv w:val="1"/>
      <w:marLeft w:val="0"/>
      <w:marRight w:val="0"/>
      <w:marTop w:val="0"/>
      <w:marBottom w:val="0"/>
      <w:divBdr>
        <w:top w:val="none" w:sz="0" w:space="0" w:color="auto"/>
        <w:left w:val="none" w:sz="0" w:space="0" w:color="auto"/>
        <w:bottom w:val="none" w:sz="0" w:space="0" w:color="auto"/>
        <w:right w:val="none" w:sz="0" w:space="0" w:color="auto"/>
      </w:divBdr>
      <w:divsChild>
        <w:div w:id="45298128">
          <w:marLeft w:val="0"/>
          <w:marRight w:val="0"/>
          <w:marTop w:val="0"/>
          <w:marBottom w:val="0"/>
          <w:divBdr>
            <w:top w:val="none" w:sz="0" w:space="0" w:color="auto"/>
            <w:left w:val="none" w:sz="0" w:space="0" w:color="auto"/>
            <w:bottom w:val="none" w:sz="0" w:space="0" w:color="auto"/>
            <w:right w:val="none" w:sz="0" w:space="0" w:color="auto"/>
          </w:divBdr>
        </w:div>
        <w:div w:id="289559517">
          <w:marLeft w:val="0"/>
          <w:marRight w:val="0"/>
          <w:marTop w:val="0"/>
          <w:marBottom w:val="0"/>
          <w:divBdr>
            <w:top w:val="none" w:sz="0" w:space="0" w:color="auto"/>
            <w:left w:val="none" w:sz="0" w:space="0" w:color="auto"/>
            <w:bottom w:val="none" w:sz="0" w:space="0" w:color="auto"/>
            <w:right w:val="none" w:sz="0" w:space="0" w:color="auto"/>
          </w:divBdr>
        </w:div>
        <w:div w:id="1494371671">
          <w:marLeft w:val="0"/>
          <w:marRight w:val="0"/>
          <w:marTop w:val="0"/>
          <w:marBottom w:val="0"/>
          <w:divBdr>
            <w:top w:val="none" w:sz="0" w:space="0" w:color="auto"/>
            <w:left w:val="none" w:sz="0" w:space="0" w:color="auto"/>
            <w:bottom w:val="none" w:sz="0" w:space="0" w:color="auto"/>
            <w:right w:val="none" w:sz="0" w:space="0" w:color="auto"/>
          </w:divBdr>
        </w:div>
        <w:div w:id="523789299">
          <w:marLeft w:val="0"/>
          <w:marRight w:val="0"/>
          <w:marTop w:val="0"/>
          <w:marBottom w:val="0"/>
          <w:divBdr>
            <w:top w:val="none" w:sz="0" w:space="0" w:color="auto"/>
            <w:left w:val="none" w:sz="0" w:space="0" w:color="auto"/>
            <w:bottom w:val="none" w:sz="0" w:space="0" w:color="auto"/>
            <w:right w:val="none" w:sz="0" w:space="0" w:color="auto"/>
          </w:divBdr>
        </w:div>
        <w:div w:id="231239510">
          <w:marLeft w:val="0"/>
          <w:marRight w:val="0"/>
          <w:marTop w:val="0"/>
          <w:marBottom w:val="0"/>
          <w:divBdr>
            <w:top w:val="none" w:sz="0" w:space="0" w:color="auto"/>
            <w:left w:val="none" w:sz="0" w:space="0" w:color="auto"/>
            <w:bottom w:val="none" w:sz="0" w:space="0" w:color="auto"/>
            <w:right w:val="none" w:sz="0" w:space="0" w:color="auto"/>
          </w:divBdr>
        </w:div>
        <w:div w:id="1883667970">
          <w:marLeft w:val="0"/>
          <w:marRight w:val="0"/>
          <w:marTop w:val="0"/>
          <w:marBottom w:val="0"/>
          <w:divBdr>
            <w:top w:val="none" w:sz="0" w:space="0" w:color="auto"/>
            <w:left w:val="none" w:sz="0" w:space="0" w:color="auto"/>
            <w:bottom w:val="none" w:sz="0" w:space="0" w:color="auto"/>
            <w:right w:val="none" w:sz="0" w:space="0" w:color="auto"/>
          </w:divBdr>
        </w:div>
      </w:divsChild>
    </w:div>
    <w:div w:id="1595240017">
      <w:bodyDiv w:val="1"/>
      <w:marLeft w:val="0"/>
      <w:marRight w:val="0"/>
      <w:marTop w:val="0"/>
      <w:marBottom w:val="0"/>
      <w:divBdr>
        <w:top w:val="none" w:sz="0" w:space="0" w:color="auto"/>
        <w:left w:val="none" w:sz="0" w:space="0" w:color="auto"/>
        <w:bottom w:val="none" w:sz="0" w:space="0" w:color="auto"/>
        <w:right w:val="none" w:sz="0" w:space="0" w:color="auto"/>
      </w:divBdr>
    </w:div>
    <w:div w:id="18368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tmadd0829</dc:creator>
  <cp:lastModifiedBy>tmadd0829</cp:lastModifiedBy>
  <cp:revision>2</cp:revision>
  <cp:lastPrinted>2017-10-12T15:02:00Z</cp:lastPrinted>
  <dcterms:created xsi:type="dcterms:W3CDTF">2017-10-12T14:21:00Z</dcterms:created>
  <dcterms:modified xsi:type="dcterms:W3CDTF">2017-10-12T15:03:00Z</dcterms:modified>
</cp:coreProperties>
</file>